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756"/>
      </w:tblGrid>
      <w:tr w:rsidR="00A16913" w:rsidRPr="0033606C">
        <w:trPr>
          <w:tblCellSpacing w:w="0" w:type="dxa"/>
          <w:jc w:val="center"/>
        </w:trPr>
        <w:tc>
          <w:tcPr>
            <w:tcW w:w="0" w:type="auto"/>
            <w:tcMar>
              <w:top w:w="225" w:type="dxa"/>
              <w:left w:w="225" w:type="dxa"/>
              <w:bottom w:w="225" w:type="dxa"/>
              <w:right w:w="225" w:type="dxa"/>
            </w:tcMar>
            <w:vAlign w:val="center"/>
            <w:hideMark/>
          </w:tcPr>
          <w:p w:rsidR="00A16913" w:rsidRPr="0033606C" w:rsidRDefault="00A16913" w:rsidP="00A16913">
            <w:pPr>
              <w:widowControl/>
              <w:jc w:val="center"/>
              <w:rPr>
                <w:rFonts w:ascii="宋体" w:eastAsia="宋体" w:hAnsi="宋体" w:cs="宋体"/>
                <w:b/>
                <w:bCs/>
                <w:color w:val="000000"/>
                <w:kern w:val="0"/>
                <w:sz w:val="28"/>
                <w:szCs w:val="28"/>
              </w:rPr>
            </w:pPr>
            <w:r w:rsidRPr="0033606C">
              <w:rPr>
                <w:rFonts w:ascii="宋体" w:eastAsia="宋体" w:hAnsi="宋体" w:cs="宋体" w:hint="eastAsia"/>
                <w:b/>
                <w:bCs/>
                <w:color w:val="000000"/>
                <w:kern w:val="0"/>
                <w:sz w:val="28"/>
                <w:szCs w:val="28"/>
                <w:bdr w:val="none" w:sz="0" w:space="0" w:color="auto" w:frame="1"/>
              </w:rPr>
              <w:t>中国证监会发布《关于进一步推进证券经营机构创新发展的意见》</w:t>
            </w:r>
          </w:p>
        </w:tc>
      </w:tr>
      <w:tr w:rsidR="00A16913" w:rsidRPr="0033606C">
        <w:trPr>
          <w:tblCellSpacing w:w="0" w:type="dxa"/>
          <w:jc w:val="center"/>
        </w:trPr>
        <w:tc>
          <w:tcPr>
            <w:tcW w:w="0" w:type="auto"/>
            <w:tcBorders>
              <w:top w:val="single" w:sz="6" w:space="0" w:color="CCCCCC"/>
            </w:tcBorders>
            <w:shd w:val="clear" w:color="auto" w:fill="ECECEC"/>
            <w:tcMar>
              <w:top w:w="75" w:type="dxa"/>
              <w:left w:w="0" w:type="dxa"/>
              <w:bottom w:w="75" w:type="dxa"/>
              <w:right w:w="0" w:type="dxa"/>
            </w:tcMar>
            <w:vAlign w:val="center"/>
            <w:hideMark/>
          </w:tcPr>
          <w:p w:rsidR="00A16913" w:rsidRPr="0033606C" w:rsidRDefault="00A16913" w:rsidP="00A16913">
            <w:pPr>
              <w:widowControl/>
              <w:jc w:val="center"/>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中国证监会 www.csrc.gov.cn</w:t>
            </w:r>
            <w:r w:rsidRPr="0033606C">
              <w:rPr>
                <w:rFonts w:ascii="宋体" w:eastAsia="宋体" w:hAnsi="宋体" w:cs="宋体" w:hint="eastAsia"/>
                <w:color w:val="000000"/>
                <w:kern w:val="0"/>
                <w:sz w:val="28"/>
                <w:szCs w:val="28"/>
              </w:rPr>
              <w:t xml:space="preserve"> 时间：</w:t>
            </w:r>
            <w:r w:rsidRPr="0033606C">
              <w:rPr>
                <w:rFonts w:ascii="宋体" w:eastAsia="宋体" w:hAnsi="宋体" w:cs="宋体" w:hint="eastAsia"/>
                <w:color w:val="000000"/>
                <w:kern w:val="0"/>
                <w:sz w:val="28"/>
                <w:szCs w:val="28"/>
                <w:bdr w:val="none" w:sz="0" w:space="0" w:color="auto" w:frame="1"/>
              </w:rPr>
              <w:t>2014年05月15日</w:t>
            </w:r>
            <w:r w:rsidRPr="0033606C">
              <w:rPr>
                <w:rFonts w:ascii="宋体" w:eastAsia="宋体" w:hAnsi="宋体" w:cs="宋体" w:hint="eastAsia"/>
                <w:color w:val="000000"/>
                <w:kern w:val="0"/>
                <w:sz w:val="28"/>
                <w:szCs w:val="28"/>
              </w:rPr>
              <w:t xml:space="preserve"> 来源： </w:t>
            </w:r>
          </w:p>
        </w:tc>
      </w:tr>
      <w:tr w:rsidR="00A16913" w:rsidRPr="0033606C">
        <w:trPr>
          <w:tblCellSpacing w:w="0" w:type="dxa"/>
          <w:jc w:val="center"/>
        </w:trPr>
        <w:tc>
          <w:tcPr>
            <w:tcW w:w="0" w:type="auto"/>
            <w:vAlign w:val="center"/>
            <w:hideMark/>
          </w:tcPr>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为贯彻落实《国务院关于进一步促进资本市场健康发展的若干意见》(国发〔2014〕17号)，提高证券期货服务业竞争力，促进中介机构创新发展，中国证监会近日发布《关于进一步推进证券经营机构创新发展的意见》，明确了今后一段时期推进证券经营机构创新发展的总体原则、主要任务和具体措施。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《意见》提出，证券经营机构创新发展总的原则是：必须坚持服务实体经济，紧紧围绕实体经济的现实需求推进业务和产品创新，支持中小</w:t>
            </w:r>
            <w:proofErr w:type="gramStart"/>
            <w:r w:rsidRPr="0033606C">
              <w:rPr>
                <w:rFonts w:ascii="宋体" w:eastAsia="宋体" w:hAnsi="宋体" w:cs="宋体" w:hint="eastAsia"/>
                <w:color w:val="000000"/>
                <w:kern w:val="0"/>
                <w:sz w:val="28"/>
                <w:szCs w:val="28"/>
                <w:bdr w:val="none" w:sz="0" w:space="0" w:color="auto" w:frame="1"/>
              </w:rPr>
              <w:t>微企业</w:t>
            </w:r>
            <w:proofErr w:type="gramEnd"/>
            <w:r w:rsidRPr="0033606C">
              <w:rPr>
                <w:rFonts w:ascii="宋体" w:eastAsia="宋体" w:hAnsi="宋体" w:cs="宋体" w:hint="eastAsia"/>
                <w:color w:val="000000"/>
                <w:kern w:val="0"/>
                <w:sz w:val="28"/>
                <w:szCs w:val="28"/>
                <w:bdr w:val="none" w:sz="0" w:space="0" w:color="auto" w:frame="1"/>
              </w:rPr>
              <w:t>发展，提升证券经营机构服务实体经济的能力和水平；必须坚持促进现代服务业发展，增强证券行业核心竞争力，推动金融服务协同发展，打造功能齐备、分工专业、服务优质的金融服务产业；必须坚持证券经营机构是创新主体，发挥市场机制作用，尊重证券经营机构的首创精神，激发创新活力，落实创新责任；必须坚持防范系统性、区域性金融风险，始终把合</w:t>
            </w:r>
            <w:proofErr w:type="gramStart"/>
            <w:r w:rsidRPr="0033606C">
              <w:rPr>
                <w:rFonts w:ascii="宋体" w:eastAsia="宋体" w:hAnsi="宋体" w:cs="宋体" w:hint="eastAsia"/>
                <w:color w:val="000000"/>
                <w:kern w:val="0"/>
                <w:sz w:val="28"/>
                <w:szCs w:val="28"/>
                <w:bdr w:val="none" w:sz="0" w:space="0" w:color="auto" w:frame="1"/>
              </w:rPr>
              <w:t>规</w:t>
            </w:r>
            <w:proofErr w:type="gramEnd"/>
            <w:r w:rsidRPr="0033606C">
              <w:rPr>
                <w:rFonts w:ascii="宋体" w:eastAsia="宋体" w:hAnsi="宋体" w:cs="宋体" w:hint="eastAsia"/>
                <w:color w:val="000000"/>
                <w:kern w:val="0"/>
                <w:sz w:val="28"/>
                <w:szCs w:val="28"/>
                <w:bdr w:val="none" w:sz="0" w:space="0" w:color="auto" w:frame="1"/>
              </w:rPr>
              <w:t>管理和风险控制贯穿于创新发展全过程，坚持诚信为本，客户利益至上，切实维护投资者合法权益。</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《意见》从三个方面明确了推进证券经营机构创新发展的主要任务和具体措施。</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一是建设现代投资银行。支持证券经营机构提高综合金融服务能力，完善基础功能，拓宽融资渠道，发展跨境业务，提升合</w:t>
            </w:r>
            <w:proofErr w:type="gramStart"/>
            <w:r w:rsidRPr="0033606C">
              <w:rPr>
                <w:rFonts w:ascii="宋体" w:eastAsia="宋体" w:hAnsi="宋体" w:cs="宋体" w:hint="eastAsia"/>
                <w:color w:val="000000"/>
                <w:kern w:val="0"/>
                <w:sz w:val="28"/>
                <w:szCs w:val="28"/>
                <w:bdr w:val="none" w:sz="0" w:space="0" w:color="auto" w:frame="1"/>
              </w:rPr>
              <w:t>规风控</w:t>
            </w:r>
            <w:proofErr w:type="gramEnd"/>
            <w:r w:rsidRPr="0033606C">
              <w:rPr>
                <w:rFonts w:ascii="宋体" w:eastAsia="宋体" w:hAnsi="宋体" w:cs="宋体" w:hint="eastAsia"/>
                <w:color w:val="000000"/>
                <w:kern w:val="0"/>
                <w:sz w:val="28"/>
                <w:szCs w:val="28"/>
                <w:bdr w:val="none" w:sz="0" w:space="0" w:color="auto" w:frame="1"/>
              </w:rPr>
              <w:t xml:space="preserve">水平，促进形成具有国际竞争力、品牌影响力和系统重要性的现代投资银行。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lastRenderedPageBreak/>
              <w:t xml:space="preserve">二是支持业务产品创新。推动资产管理业务发展，支持开展固定收益、外汇和大宗商品业务，支持融资类业务创新，稳妥开展衍生品业务，发展柜台业务，支持自主创设私募产品。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三是推进监管转型。转变监管方式，深化审批改革，放宽行业准入，实施业务牌照管理。 </w:t>
            </w:r>
          </w:p>
          <w:p w:rsidR="00A16913" w:rsidRPr="0033606C" w:rsidRDefault="00A16913" w:rsidP="00A16913">
            <w:pPr>
              <w:widowControl/>
              <w:ind w:firstLine="420"/>
              <w:jc w:val="center"/>
              <w:rPr>
                <w:rFonts w:ascii="宋体" w:eastAsia="宋体" w:hAnsi="宋体" w:cs="宋体"/>
                <w:color w:val="000000"/>
                <w:kern w:val="0"/>
                <w:sz w:val="28"/>
                <w:szCs w:val="28"/>
              </w:rPr>
            </w:pPr>
            <w:r w:rsidRPr="0033606C">
              <w:rPr>
                <w:rFonts w:ascii="宋体" w:eastAsia="宋体" w:hAnsi="宋体" w:cs="宋体" w:hint="eastAsia"/>
                <w:b/>
                <w:bCs/>
                <w:color w:val="000000"/>
                <w:kern w:val="0"/>
                <w:sz w:val="28"/>
                <w:szCs w:val="28"/>
                <w:bdr w:val="none" w:sz="0" w:space="0" w:color="auto" w:frame="1"/>
              </w:rPr>
              <w:t>关于进一步推进证券经营机构创新发展的意见</w:t>
            </w:r>
          </w:p>
          <w:p w:rsidR="00A16913" w:rsidRPr="0033606C" w:rsidRDefault="00A16913" w:rsidP="00A16913">
            <w:pPr>
              <w:widowControl/>
              <w:ind w:firstLine="420"/>
              <w:jc w:val="center"/>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证监发〔2014〕37号</w:t>
            </w:r>
            <w:bookmarkStart w:id="0" w:name="_GoBack"/>
            <w:bookmarkEnd w:id="0"/>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中国证监会各派出机构，各交易所，各下属单位，各协会，会内各部门：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为贯彻落实《国务院关于进一步促进资本市场健康发展的若干意见》（国发〔2014〕17号）对提高证券期货服务业竞争力，促进中介机构创新发展的有关要求，证监会在广泛征求意见的基础上，研究了进一步推进证券经营机构创新发展问题。总的原则是，证券经营机构创新发展必须坚持服务实体经济，紧紧围绕实体经济的现实需求推进业务和产品创新，支持中小</w:t>
            </w:r>
            <w:proofErr w:type="gramStart"/>
            <w:r w:rsidRPr="0033606C">
              <w:rPr>
                <w:rFonts w:ascii="宋体" w:eastAsia="宋体" w:hAnsi="宋体" w:cs="宋体" w:hint="eastAsia"/>
                <w:color w:val="000000"/>
                <w:kern w:val="0"/>
                <w:sz w:val="28"/>
                <w:szCs w:val="28"/>
                <w:bdr w:val="none" w:sz="0" w:space="0" w:color="auto" w:frame="1"/>
              </w:rPr>
              <w:t>微企业</w:t>
            </w:r>
            <w:proofErr w:type="gramEnd"/>
            <w:r w:rsidRPr="0033606C">
              <w:rPr>
                <w:rFonts w:ascii="宋体" w:eastAsia="宋体" w:hAnsi="宋体" w:cs="宋体" w:hint="eastAsia"/>
                <w:color w:val="000000"/>
                <w:kern w:val="0"/>
                <w:sz w:val="28"/>
                <w:szCs w:val="28"/>
                <w:bdr w:val="none" w:sz="0" w:space="0" w:color="auto" w:frame="1"/>
              </w:rPr>
              <w:t>发展，提升证券经营机构服务实体经济的能力和水平；必须坚持促进现代服务业发展，增强证券行业核心竞争力，推动金融服务协同发展，打造功能齐备、分工专业、服务优质的金融服务产业；必须坚持证券经营机构是创新主体，发挥市场机制作用，尊重证券经营机构的首创精神，激发创新活力，落实创新责任；必须坚持防范系统性、区域性金融风险，始终把合</w:t>
            </w:r>
            <w:proofErr w:type="gramStart"/>
            <w:r w:rsidRPr="0033606C">
              <w:rPr>
                <w:rFonts w:ascii="宋体" w:eastAsia="宋体" w:hAnsi="宋体" w:cs="宋体" w:hint="eastAsia"/>
                <w:color w:val="000000"/>
                <w:kern w:val="0"/>
                <w:sz w:val="28"/>
                <w:szCs w:val="28"/>
                <w:bdr w:val="none" w:sz="0" w:space="0" w:color="auto" w:frame="1"/>
              </w:rPr>
              <w:t>规</w:t>
            </w:r>
            <w:proofErr w:type="gramEnd"/>
            <w:r w:rsidRPr="0033606C">
              <w:rPr>
                <w:rFonts w:ascii="宋体" w:eastAsia="宋体" w:hAnsi="宋体" w:cs="宋体" w:hint="eastAsia"/>
                <w:color w:val="000000"/>
                <w:kern w:val="0"/>
                <w:sz w:val="28"/>
                <w:szCs w:val="28"/>
                <w:bdr w:val="none" w:sz="0" w:space="0" w:color="auto" w:frame="1"/>
              </w:rPr>
              <w:t xml:space="preserve">管理和风险控制贯穿于创新发展全过程，坚持诚信为本，客户利益至上，切实维护投资者合法权益。现就进一步推进证券经营机构创新发展，提出以下意见。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b/>
                <w:bCs/>
                <w:color w:val="000000"/>
                <w:kern w:val="0"/>
                <w:sz w:val="28"/>
                <w:szCs w:val="28"/>
                <w:bdr w:val="none" w:sz="0" w:space="0" w:color="auto" w:frame="1"/>
              </w:rPr>
              <w:lastRenderedPageBreak/>
              <w:t>一、建设现代投资银行</w:t>
            </w:r>
            <w:r w:rsidRPr="0033606C">
              <w:rPr>
                <w:rFonts w:ascii="宋体" w:eastAsia="宋体" w:hAnsi="宋体" w:cs="宋体" w:hint="eastAsia"/>
                <w:color w:val="000000"/>
                <w:kern w:val="0"/>
                <w:sz w:val="28"/>
                <w:szCs w:val="28"/>
                <w:bdr w:val="none" w:sz="0" w:space="0" w:color="auto" w:frame="1"/>
              </w:rPr>
              <w:t xml:space="preserve">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一）提高综合金融服务能力。支持证券经营机构进一步深化和提升经纪、自营、资产管理、承销与保荐等传统业务，积极利用网络信息技术创新产品、业务和交易方式，探索新型互联网金融业务。鼓励证券经营机构开展管理创新，实施差异化、专业化、特色化发展，促进形成具有国际竞争力、品牌影响力和系统重要性的现代投资银行。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二）完善基础功能。支持证券经营机构拓展投资融资、销售交易、资产托管等基础功能，进行销售交易类产品创新，满足客户对非标准化产品的需求。鼓励证券经营机构为大宗交易、私募产品、场外衍生品等各种金融产品开展做市等交易服务。支持证券经营机构开展资产托管业务。推进统一证券账户平台建设，建立与私募市场、互联网证券等业务相适应的账户体系。规范证券行业支付系统，研究建设支付平台。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三）拓宽融资渠道。支持证券经营机构进行股权和债权融资，在境内外发行上市、在全国中小企业股份转让系统挂牌，发行优先股、公司债，开展并购重组。鼓励证券经营机构探索新的融资渠道和新型融资工具。支持证券经营机构开展收益凭证业务试点。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四）发展跨境业务。支持证券经营机构为境内企业跨境上市、发行债券、并购重组提供财务顾问、承销、托管、结算等中介服务。支持证券经营机构“走出去”，在港、澳、台和其他境外市场通过新设、并购重组等方式设置子公司。支持证券经营机构为符合条件的境外企业在境内发行人民币债券提供相关服务，积极参与沪港股票市场交易互联互通机制试点，并依托上海自贸区等经济金融改革试验区机制和政策，为境</w:t>
            </w:r>
            <w:r w:rsidRPr="0033606C">
              <w:rPr>
                <w:rFonts w:ascii="宋体" w:eastAsia="宋体" w:hAnsi="宋体" w:cs="宋体" w:hint="eastAsia"/>
                <w:color w:val="000000"/>
                <w:kern w:val="0"/>
                <w:sz w:val="28"/>
                <w:szCs w:val="28"/>
                <w:bdr w:val="none" w:sz="0" w:space="0" w:color="auto" w:frame="1"/>
              </w:rPr>
              <w:lastRenderedPageBreak/>
              <w:t xml:space="preserve">内外个人和机构提供投融资服务。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（五）提升合</w:t>
            </w:r>
            <w:proofErr w:type="gramStart"/>
            <w:r w:rsidRPr="0033606C">
              <w:rPr>
                <w:rFonts w:ascii="宋体" w:eastAsia="宋体" w:hAnsi="宋体" w:cs="宋体" w:hint="eastAsia"/>
                <w:color w:val="000000"/>
                <w:kern w:val="0"/>
                <w:sz w:val="28"/>
                <w:szCs w:val="28"/>
                <w:bdr w:val="none" w:sz="0" w:space="0" w:color="auto" w:frame="1"/>
              </w:rPr>
              <w:t>规风控</w:t>
            </w:r>
            <w:proofErr w:type="gramEnd"/>
            <w:r w:rsidRPr="0033606C">
              <w:rPr>
                <w:rFonts w:ascii="宋体" w:eastAsia="宋体" w:hAnsi="宋体" w:cs="宋体" w:hint="eastAsia"/>
                <w:color w:val="000000"/>
                <w:kern w:val="0"/>
                <w:sz w:val="28"/>
                <w:szCs w:val="28"/>
                <w:bdr w:val="none" w:sz="0" w:space="0" w:color="auto" w:frame="1"/>
              </w:rPr>
              <w:t>水平。优化以净资本及流动性风险防范为核心的证券经营机构风险控制指标体系。落实证券经营机构自身风险管理责任，完善全面风险管理机制。推进证券经营机构全员合</w:t>
            </w:r>
            <w:proofErr w:type="gramStart"/>
            <w:r w:rsidRPr="0033606C">
              <w:rPr>
                <w:rFonts w:ascii="宋体" w:eastAsia="宋体" w:hAnsi="宋体" w:cs="宋体" w:hint="eastAsia"/>
                <w:color w:val="000000"/>
                <w:kern w:val="0"/>
                <w:sz w:val="28"/>
                <w:szCs w:val="28"/>
                <w:bdr w:val="none" w:sz="0" w:space="0" w:color="auto" w:frame="1"/>
              </w:rPr>
              <w:t>规</w:t>
            </w:r>
            <w:proofErr w:type="gramEnd"/>
            <w:r w:rsidRPr="0033606C">
              <w:rPr>
                <w:rFonts w:ascii="宋体" w:eastAsia="宋体" w:hAnsi="宋体" w:cs="宋体" w:hint="eastAsia"/>
                <w:color w:val="000000"/>
                <w:kern w:val="0"/>
                <w:sz w:val="28"/>
                <w:szCs w:val="28"/>
                <w:bdr w:val="none" w:sz="0" w:space="0" w:color="auto" w:frame="1"/>
              </w:rPr>
              <w:t>管理，强化合</w:t>
            </w:r>
            <w:proofErr w:type="gramStart"/>
            <w:r w:rsidRPr="0033606C">
              <w:rPr>
                <w:rFonts w:ascii="宋体" w:eastAsia="宋体" w:hAnsi="宋体" w:cs="宋体" w:hint="eastAsia"/>
                <w:color w:val="000000"/>
                <w:kern w:val="0"/>
                <w:sz w:val="28"/>
                <w:szCs w:val="28"/>
                <w:bdr w:val="none" w:sz="0" w:space="0" w:color="auto" w:frame="1"/>
              </w:rPr>
              <w:t>规</w:t>
            </w:r>
            <w:proofErr w:type="gramEnd"/>
            <w:r w:rsidRPr="0033606C">
              <w:rPr>
                <w:rFonts w:ascii="宋体" w:eastAsia="宋体" w:hAnsi="宋体" w:cs="宋体" w:hint="eastAsia"/>
                <w:color w:val="000000"/>
                <w:kern w:val="0"/>
                <w:sz w:val="28"/>
                <w:szCs w:val="28"/>
                <w:bdr w:val="none" w:sz="0" w:space="0" w:color="auto" w:frame="1"/>
              </w:rPr>
              <w:t xml:space="preserve">队伍建设及履职保障。督促证券经营机构坚持以客户利益为中心，严守道德底线与职业底线，履行行业责任、市场责任与社会责任。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b/>
                <w:bCs/>
                <w:color w:val="000000"/>
                <w:kern w:val="0"/>
                <w:sz w:val="28"/>
                <w:szCs w:val="28"/>
                <w:bdr w:val="none" w:sz="0" w:space="0" w:color="auto" w:frame="1"/>
              </w:rPr>
              <w:t>二、支持业务产品创新</w:t>
            </w:r>
            <w:r w:rsidRPr="0033606C">
              <w:rPr>
                <w:rFonts w:ascii="宋体" w:eastAsia="宋体" w:hAnsi="宋体" w:cs="宋体" w:hint="eastAsia"/>
                <w:color w:val="000000"/>
                <w:kern w:val="0"/>
                <w:sz w:val="28"/>
                <w:szCs w:val="28"/>
                <w:bdr w:val="none" w:sz="0" w:space="0" w:color="auto" w:frame="1"/>
              </w:rPr>
              <w:t xml:space="preserve">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六）推动资产管理业务发展。证券经营机构要创新和改进资产管理业务流程，提升产品销售、产品设计、投资运作、售后服务等环节的专业水平。符合条件的证券经营机构可以开发跨境跨市场、覆盖不同资产类别、采取多元化投资策略和差异</w:t>
            </w:r>
            <w:proofErr w:type="gramStart"/>
            <w:r w:rsidRPr="0033606C">
              <w:rPr>
                <w:rFonts w:ascii="宋体" w:eastAsia="宋体" w:hAnsi="宋体" w:cs="宋体" w:hint="eastAsia"/>
                <w:color w:val="000000"/>
                <w:kern w:val="0"/>
                <w:sz w:val="28"/>
                <w:szCs w:val="28"/>
                <w:bdr w:val="none" w:sz="0" w:space="0" w:color="auto" w:frame="1"/>
              </w:rPr>
              <w:t>化收费</w:t>
            </w:r>
            <w:proofErr w:type="gramEnd"/>
            <w:r w:rsidRPr="0033606C">
              <w:rPr>
                <w:rFonts w:ascii="宋体" w:eastAsia="宋体" w:hAnsi="宋体" w:cs="宋体" w:hint="eastAsia"/>
                <w:color w:val="000000"/>
                <w:kern w:val="0"/>
                <w:sz w:val="28"/>
                <w:szCs w:val="28"/>
                <w:bdr w:val="none" w:sz="0" w:space="0" w:color="auto" w:frame="1"/>
              </w:rPr>
              <w:t xml:space="preserve">结构与收费水平的产品。研究建立房地产投资信托基金（REITs）的制度体系及相应的产品运作模式和方案。拓宽集合资产管理计划投资范围，允许投资于未通过证券交易所转让的股权、债权及其他财产权利。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七）支持开展固定收益、外汇和大宗商品业务。加快债券产品创新，完善做市商交易机制。发展应收账款、融资租赁债权、基础设施收益权等资产证券化业务，积极探索开展信贷资产证券化业务。依法开展大宗商品和外汇的期现货交易。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（八）支持融资类业务创新。完善融资融券业务相关规则，扩大融资融券与转融通业务的资金和证券来源。开展约定购回、股票（权）质押回购等融资担保型业务创新，</w:t>
            </w:r>
            <w:proofErr w:type="gramStart"/>
            <w:r w:rsidRPr="0033606C">
              <w:rPr>
                <w:rFonts w:ascii="宋体" w:eastAsia="宋体" w:hAnsi="宋体" w:cs="宋体" w:hint="eastAsia"/>
                <w:color w:val="000000"/>
                <w:kern w:val="0"/>
                <w:sz w:val="28"/>
                <w:szCs w:val="28"/>
                <w:bdr w:val="none" w:sz="0" w:space="0" w:color="auto" w:frame="1"/>
              </w:rPr>
              <w:t>扩展约</w:t>
            </w:r>
            <w:proofErr w:type="gramEnd"/>
            <w:r w:rsidRPr="0033606C">
              <w:rPr>
                <w:rFonts w:ascii="宋体" w:eastAsia="宋体" w:hAnsi="宋体" w:cs="宋体" w:hint="eastAsia"/>
                <w:color w:val="000000"/>
                <w:kern w:val="0"/>
                <w:sz w:val="28"/>
                <w:szCs w:val="28"/>
                <w:bdr w:val="none" w:sz="0" w:space="0" w:color="auto" w:frame="1"/>
              </w:rPr>
              <w:t xml:space="preserve">定购回、股票质押回购出资方范围。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（九）稳妥开展衍生品业务。支持证券经营机构参与境内期货市场交</w:t>
            </w:r>
            <w:r w:rsidRPr="0033606C">
              <w:rPr>
                <w:rFonts w:ascii="宋体" w:eastAsia="宋体" w:hAnsi="宋体" w:cs="宋体" w:hint="eastAsia"/>
                <w:color w:val="000000"/>
                <w:kern w:val="0"/>
                <w:sz w:val="28"/>
                <w:szCs w:val="28"/>
                <w:bdr w:val="none" w:sz="0" w:space="0" w:color="auto" w:frame="1"/>
              </w:rPr>
              <w:lastRenderedPageBreak/>
              <w:t>易和信用风险缓释工具、利率互换、期权等衍生品交易。进一步完善衍生品交易主协议及相关配套文件。研究衍生品交易的集中结算、交易信息报告等制度。适应资本市场风险管理需要，平稳有序发展相关金融衍生产品。允许符合条件的机构投资者以对</w:t>
            </w:r>
            <w:proofErr w:type="gramStart"/>
            <w:r w:rsidRPr="0033606C">
              <w:rPr>
                <w:rFonts w:ascii="宋体" w:eastAsia="宋体" w:hAnsi="宋体" w:cs="宋体" w:hint="eastAsia"/>
                <w:color w:val="000000"/>
                <w:kern w:val="0"/>
                <w:sz w:val="28"/>
                <w:szCs w:val="28"/>
                <w:bdr w:val="none" w:sz="0" w:space="0" w:color="auto" w:frame="1"/>
              </w:rPr>
              <w:t>冲风险</w:t>
            </w:r>
            <w:proofErr w:type="gramEnd"/>
            <w:r w:rsidRPr="0033606C">
              <w:rPr>
                <w:rFonts w:ascii="宋体" w:eastAsia="宋体" w:hAnsi="宋体" w:cs="宋体" w:hint="eastAsia"/>
                <w:color w:val="000000"/>
                <w:kern w:val="0"/>
                <w:sz w:val="28"/>
                <w:szCs w:val="28"/>
                <w:bdr w:val="none" w:sz="0" w:space="0" w:color="auto" w:frame="1"/>
              </w:rPr>
              <w:t xml:space="preserve">为目的使用期货衍生品工具。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十）发展柜台业务。扩大证券经营机构柜台交易业务试点。加快建设机构间私募产品报价与服务系统，为机构投资者提供私募业务项目对接、在线转让等各项服务。稳步发展机构间市场，推动互联互通。鼓励证券经营机构多方位参与区域性股权市场。研究建立行业增信机构，规范管理融资性担保机构。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十一）支持自主创设私募产品。按照分类监管的原则，逐步实现对证券经营机构自主创设的私募产品实行事后备案。对在证券经营机构柜台市场或在机构间私募产品报价与服务系统创设的私募产品，直接实行事后备案。支持证券经营机构设立并购基金、夹层基金、产业基金等直投基金。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b/>
                <w:bCs/>
                <w:color w:val="000000"/>
                <w:kern w:val="0"/>
                <w:sz w:val="28"/>
                <w:szCs w:val="28"/>
                <w:bdr w:val="none" w:sz="0" w:space="0" w:color="auto" w:frame="1"/>
              </w:rPr>
              <w:t>三、推进监管转型</w:t>
            </w:r>
            <w:r w:rsidRPr="0033606C">
              <w:rPr>
                <w:rFonts w:ascii="宋体" w:eastAsia="宋体" w:hAnsi="宋体" w:cs="宋体" w:hint="eastAsia"/>
                <w:color w:val="000000"/>
                <w:kern w:val="0"/>
                <w:sz w:val="28"/>
                <w:szCs w:val="28"/>
                <w:bdr w:val="none" w:sz="0" w:space="0" w:color="auto" w:frame="1"/>
              </w:rPr>
              <w:t xml:space="preserve">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 xml:space="preserve">（十二）转变监管方式。完善监管机制，统一监管尺度，从重事前审批向加强事中事后监管转变。支持证券经营机构依法自主开展业务和产品创新，自主识别、判断并承担创新风险。加强事中监管与动态监测监控和以风险、问题为导向的现场检查。强化事后监管，加大执法力度，完善日常监管机构、稽查执法部门和自律组织之间的监管执法联动机制。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（十三）深化审批改革。甄别清理证券经营机构类审批备案事项。进</w:t>
            </w:r>
            <w:r w:rsidRPr="0033606C">
              <w:rPr>
                <w:rFonts w:ascii="宋体" w:eastAsia="宋体" w:hAnsi="宋体" w:cs="宋体" w:hint="eastAsia"/>
                <w:color w:val="000000"/>
                <w:kern w:val="0"/>
                <w:sz w:val="28"/>
                <w:szCs w:val="28"/>
                <w:bdr w:val="none" w:sz="0" w:space="0" w:color="auto" w:frame="1"/>
              </w:rPr>
              <w:lastRenderedPageBreak/>
              <w:t xml:space="preserve">一步取消调整行政许可审批事项；进一步调整非行政许可审批事项，并逐步予以废止；除法定行政许可审批事项外，禁止以任何名义或任何方式实施或变相实施行政审批。取消证监会系统各单位没有法律法规规章规定的事前备案、报告事项，确有必要保留的，改为事后备案。所有审批备案事项，都必须公布标准、流程、期限和方式，不公布的不得实施。 </w:t>
            </w:r>
          </w:p>
          <w:p w:rsidR="00A16913" w:rsidRPr="0033606C" w:rsidRDefault="00A16913" w:rsidP="00A16913">
            <w:pPr>
              <w:widowControl/>
              <w:ind w:firstLine="42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十四）放宽行业准入。支持民营资本、专业人员等各类符合条件的市场主体出资设立证券经营机构，进一步放宽证券经营机构外资准入条件。支持国有证券经营机构开展混合所有制改革。支持社会保险基金、企业年金等长期资金委托专业机构投资运营或设立专业证券经营机构。支持证券经营机构与其他金融机构在风险可控前提下以相互控股、参股的方式探索综合经营，完善“</w:t>
            </w:r>
            <w:proofErr w:type="gramStart"/>
            <w:r w:rsidRPr="0033606C">
              <w:rPr>
                <w:rFonts w:ascii="宋体" w:eastAsia="宋体" w:hAnsi="宋体" w:cs="宋体" w:hint="eastAsia"/>
                <w:color w:val="000000"/>
                <w:kern w:val="0"/>
                <w:sz w:val="28"/>
                <w:szCs w:val="28"/>
                <w:bdr w:val="none" w:sz="0" w:space="0" w:color="auto" w:frame="1"/>
              </w:rPr>
              <w:t>一</w:t>
            </w:r>
            <w:proofErr w:type="gramEnd"/>
            <w:r w:rsidRPr="0033606C">
              <w:rPr>
                <w:rFonts w:ascii="宋体" w:eastAsia="宋体" w:hAnsi="宋体" w:cs="宋体" w:hint="eastAsia"/>
                <w:color w:val="000000"/>
                <w:kern w:val="0"/>
                <w:sz w:val="28"/>
                <w:szCs w:val="28"/>
                <w:bdr w:val="none" w:sz="0" w:space="0" w:color="auto" w:frame="1"/>
              </w:rPr>
              <w:t xml:space="preserve">参一控”政策。 </w:t>
            </w:r>
          </w:p>
          <w:p w:rsidR="00A16913" w:rsidRPr="0033606C" w:rsidRDefault="00A16913" w:rsidP="00A16913">
            <w:pPr>
              <w:widowControl/>
              <w:ind w:firstLine="420"/>
              <w:jc w:val="left"/>
              <w:rPr>
                <w:rFonts w:ascii="宋体" w:eastAsia="宋体" w:hAnsi="宋体" w:cs="宋体" w:hint="eastAsia"/>
                <w:color w:val="000000"/>
                <w:kern w:val="0"/>
                <w:sz w:val="28"/>
                <w:szCs w:val="28"/>
                <w:bdr w:val="none" w:sz="0" w:space="0" w:color="auto" w:frame="1"/>
              </w:rPr>
            </w:pPr>
            <w:r w:rsidRPr="0033606C">
              <w:rPr>
                <w:rFonts w:ascii="宋体" w:eastAsia="宋体" w:hAnsi="宋体" w:cs="宋体" w:hint="eastAsia"/>
                <w:color w:val="000000"/>
                <w:kern w:val="0"/>
                <w:sz w:val="28"/>
                <w:szCs w:val="28"/>
                <w:bdr w:val="none" w:sz="0" w:space="0" w:color="auto" w:frame="1"/>
              </w:rPr>
              <w:t>（十五）实施业务牌照管理。建立公开透明、进退有序的证券期货业务牌照管理制度。在推进相关法律法规修改完善的前提下，支持证券公司、基金管理公司、期货公司、证券投资咨询公司等交叉持牌，支持符合条件的其他金融机构在风险隔离的基础上申请证券业务牌照。鼓励符合条件的证券公司申请公</w:t>
            </w:r>
            <w:proofErr w:type="gramStart"/>
            <w:r w:rsidRPr="0033606C">
              <w:rPr>
                <w:rFonts w:ascii="宋体" w:eastAsia="宋体" w:hAnsi="宋体" w:cs="宋体" w:hint="eastAsia"/>
                <w:color w:val="000000"/>
                <w:kern w:val="0"/>
                <w:sz w:val="28"/>
                <w:szCs w:val="28"/>
                <w:bdr w:val="none" w:sz="0" w:space="0" w:color="auto" w:frame="1"/>
              </w:rPr>
              <w:t>募基金</w:t>
            </w:r>
            <w:proofErr w:type="gramEnd"/>
            <w:r w:rsidRPr="0033606C">
              <w:rPr>
                <w:rFonts w:ascii="宋体" w:eastAsia="宋体" w:hAnsi="宋体" w:cs="宋体" w:hint="eastAsia"/>
                <w:color w:val="000000"/>
                <w:kern w:val="0"/>
                <w:sz w:val="28"/>
                <w:szCs w:val="28"/>
                <w:bdr w:val="none" w:sz="0" w:space="0" w:color="auto" w:frame="1"/>
              </w:rPr>
              <w:t>管理牌照和托管业务牌照。适时扩大合资证券公司业务范围。</w:t>
            </w:r>
          </w:p>
          <w:p w:rsidR="0033606C" w:rsidRPr="0033606C" w:rsidRDefault="0033606C" w:rsidP="00A16913">
            <w:pPr>
              <w:widowControl/>
              <w:ind w:firstLine="420"/>
              <w:jc w:val="left"/>
              <w:rPr>
                <w:rFonts w:ascii="宋体" w:eastAsia="宋体" w:hAnsi="宋体" w:cs="宋体"/>
                <w:color w:val="000000"/>
                <w:kern w:val="0"/>
                <w:sz w:val="28"/>
                <w:szCs w:val="28"/>
              </w:rPr>
            </w:pPr>
          </w:p>
          <w:p w:rsidR="00A16913" w:rsidRPr="0033606C" w:rsidRDefault="00A16913" w:rsidP="0033606C">
            <w:pPr>
              <w:widowControl/>
              <w:ind w:firstLineChars="1700" w:firstLine="476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中国证监会</w:t>
            </w:r>
          </w:p>
          <w:p w:rsidR="00A16913" w:rsidRPr="0033606C" w:rsidRDefault="00A16913" w:rsidP="0033606C">
            <w:pPr>
              <w:widowControl/>
              <w:ind w:firstLineChars="1450" w:firstLine="4060"/>
              <w:jc w:val="left"/>
              <w:rPr>
                <w:rFonts w:ascii="宋体" w:eastAsia="宋体" w:hAnsi="宋体" w:cs="宋体"/>
                <w:color w:val="000000"/>
                <w:kern w:val="0"/>
                <w:sz w:val="28"/>
                <w:szCs w:val="28"/>
              </w:rPr>
            </w:pPr>
            <w:r w:rsidRPr="0033606C">
              <w:rPr>
                <w:rFonts w:ascii="宋体" w:eastAsia="宋体" w:hAnsi="宋体" w:cs="宋体" w:hint="eastAsia"/>
                <w:color w:val="000000"/>
                <w:kern w:val="0"/>
                <w:sz w:val="28"/>
                <w:szCs w:val="28"/>
                <w:bdr w:val="none" w:sz="0" w:space="0" w:color="auto" w:frame="1"/>
              </w:rPr>
              <w:t>2014年5月13日</w:t>
            </w:r>
          </w:p>
        </w:tc>
      </w:tr>
    </w:tbl>
    <w:p w:rsidR="00C4575E" w:rsidRPr="0033606C" w:rsidRDefault="00C4575E" w:rsidP="00A16913">
      <w:pPr>
        <w:rPr>
          <w:sz w:val="28"/>
          <w:szCs w:val="28"/>
        </w:rPr>
      </w:pPr>
    </w:p>
    <w:sectPr w:rsidR="00C4575E" w:rsidRPr="00336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4B" w:rsidRDefault="007A3F4B" w:rsidP="0033606C">
      <w:r>
        <w:separator/>
      </w:r>
    </w:p>
  </w:endnote>
  <w:endnote w:type="continuationSeparator" w:id="0">
    <w:p w:rsidR="007A3F4B" w:rsidRDefault="007A3F4B" w:rsidP="0033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4B" w:rsidRDefault="007A3F4B" w:rsidP="0033606C">
      <w:r>
        <w:separator/>
      </w:r>
    </w:p>
  </w:footnote>
  <w:footnote w:type="continuationSeparator" w:id="0">
    <w:p w:rsidR="007A3F4B" w:rsidRDefault="007A3F4B" w:rsidP="003360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913"/>
    <w:rsid w:val="0033606C"/>
    <w:rsid w:val="007A3F4B"/>
    <w:rsid w:val="00A16913"/>
    <w:rsid w:val="00C45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6913"/>
    <w:rPr>
      <w:b/>
      <w:bCs/>
    </w:rPr>
  </w:style>
  <w:style w:type="paragraph" w:styleId="a4">
    <w:name w:val="header"/>
    <w:basedOn w:val="a"/>
    <w:link w:val="Char"/>
    <w:uiPriority w:val="99"/>
    <w:unhideWhenUsed/>
    <w:rsid w:val="003360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606C"/>
    <w:rPr>
      <w:sz w:val="18"/>
      <w:szCs w:val="18"/>
    </w:rPr>
  </w:style>
  <w:style w:type="paragraph" w:styleId="a5">
    <w:name w:val="footer"/>
    <w:basedOn w:val="a"/>
    <w:link w:val="Char0"/>
    <w:uiPriority w:val="99"/>
    <w:unhideWhenUsed/>
    <w:rsid w:val="0033606C"/>
    <w:pPr>
      <w:tabs>
        <w:tab w:val="center" w:pos="4153"/>
        <w:tab w:val="right" w:pos="8306"/>
      </w:tabs>
      <w:snapToGrid w:val="0"/>
      <w:jc w:val="left"/>
    </w:pPr>
    <w:rPr>
      <w:sz w:val="18"/>
      <w:szCs w:val="18"/>
    </w:rPr>
  </w:style>
  <w:style w:type="character" w:customStyle="1" w:styleId="Char0">
    <w:name w:val="页脚 Char"/>
    <w:basedOn w:val="a0"/>
    <w:link w:val="a5"/>
    <w:uiPriority w:val="99"/>
    <w:rsid w:val="0033606C"/>
    <w:rPr>
      <w:sz w:val="18"/>
      <w:szCs w:val="18"/>
    </w:rPr>
  </w:style>
  <w:style w:type="paragraph" w:styleId="a6">
    <w:name w:val="Balloon Text"/>
    <w:basedOn w:val="a"/>
    <w:link w:val="Char1"/>
    <w:uiPriority w:val="99"/>
    <w:semiHidden/>
    <w:unhideWhenUsed/>
    <w:rsid w:val="0033606C"/>
    <w:rPr>
      <w:sz w:val="18"/>
      <w:szCs w:val="18"/>
    </w:rPr>
  </w:style>
  <w:style w:type="character" w:customStyle="1" w:styleId="Char1">
    <w:name w:val="批注框文本 Char"/>
    <w:basedOn w:val="a0"/>
    <w:link w:val="a6"/>
    <w:uiPriority w:val="99"/>
    <w:semiHidden/>
    <w:rsid w:val="003360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16913"/>
    <w:rPr>
      <w:b/>
      <w:bCs/>
    </w:rPr>
  </w:style>
  <w:style w:type="paragraph" w:styleId="a4">
    <w:name w:val="header"/>
    <w:basedOn w:val="a"/>
    <w:link w:val="Char"/>
    <w:uiPriority w:val="99"/>
    <w:unhideWhenUsed/>
    <w:rsid w:val="003360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3606C"/>
    <w:rPr>
      <w:sz w:val="18"/>
      <w:szCs w:val="18"/>
    </w:rPr>
  </w:style>
  <w:style w:type="paragraph" w:styleId="a5">
    <w:name w:val="footer"/>
    <w:basedOn w:val="a"/>
    <w:link w:val="Char0"/>
    <w:uiPriority w:val="99"/>
    <w:unhideWhenUsed/>
    <w:rsid w:val="0033606C"/>
    <w:pPr>
      <w:tabs>
        <w:tab w:val="center" w:pos="4153"/>
        <w:tab w:val="right" w:pos="8306"/>
      </w:tabs>
      <w:snapToGrid w:val="0"/>
      <w:jc w:val="left"/>
    </w:pPr>
    <w:rPr>
      <w:sz w:val="18"/>
      <w:szCs w:val="18"/>
    </w:rPr>
  </w:style>
  <w:style w:type="character" w:customStyle="1" w:styleId="Char0">
    <w:name w:val="页脚 Char"/>
    <w:basedOn w:val="a0"/>
    <w:link w:val="a5"/>
    <w:uiPriority w:val="99"/>
    <w:rsid w:val="0033606C"/>
    <w:rPr>
      <w:sz w:val="18"/>
      <w:szCs w:val="18"/>
    </w:rPr>
  </w:style>
  <w:style w:type="paragraph" w:styleId="a6">
    <w:name w:val="Balloon Text"/>
    <w:basedOn w:val="a"/>
    <w:link w:val="Char1"/>
    <w:uiPriority w:val="99"/>
    <w:semiHidden/>
    <w:unhideWhenUsed/>
    <w:rsid w:val="0033606C"/>
    <w:rPr>
      <w:sz w:val="18"/>
      <w:szCs w:val="18"/>
    </w:rPr>
  </w:style>
  <w:style w:type="character" w:customStyle="1" w:styleId="Char1">
    <w:name w:val="批注框文本 Char"/>
    <w:basedOn w:val="a0"/>
    <w:link w:val="a6"/>
    <w:uiPriority w:val="99"/>
    <w:semiHidden/>
    <w:rsid w:val="003360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503485">
      <w:bodyDiv w:val="1"/>
      <w:marLeft w:val="0"/>
      <w:marRight w:val="0"/>
      <w:marTop w:val="0"/>
      <w:marBottom w:val="0"/>
      <w:divBdr>
        <w:top w:val="none" w:sz="0" w:space="0" w:color="auto"/>
        <w:left w:val="none" w:sz="0" w:space="0" w:color="auto"/>
        <w:bottom w:val="none" w:sz="0" w:space="0" w:color="auto"/>
        <w:right w:val="none" w:sz="0" w:space="0" w:color="auto"/>
      </w:divBdr>
      <w:divsChild>
        <w:div w:id="655114222">
          <w:marLeft w:val="0"/>
          <w:marRight w:val="0"/>
          <w:marTop w:val="0"/>
          <w:marBottom w:val="0"/>
          <w:divBdr>
            <w:top w:val="none" w:sz="0" w:space="0" w:color="auto"/>
            <w:left w:val="none" w:sz="0" w:space="0" w:color="auto"/>
            <w:bottom w:val="none" w:sz="0" w:space="0" w:color="auto"/>
            <w:right w:val="none" w:sz="0" w:space="0" w:color="auto"/>
          </w:divBdr>
          <w:divsChild>
            <w:div w:id="1554853182">
              <w:marLeft w:val="0"/>
              <w:marRight w:val="0"/>
              <w:marTop w:val="0"/>
              <w:marBottom w:val="0"/>
              <w:divBdr>
                <w:top w:val="none" w:sz="0" w:space="0" w:color="auto"/>
                <w:left w:val="none" w:sz="0" w:space="0" w:color="auto"/>
                <w:bottom w:val="none" w:sz="0" w:space="0" w:color="auto"/>
                <w:right w:val="none" w:sz="0" w:space="0" w:color="auto"/>
              </w:divBdr>
              <w:divsChild>
                <w:div w:id="1636641637">
                  <w:marLeft w:val="0"/>
                  <w:marRight w:val="0"/>
                  <w:marTop w:val="0"/>
                  <w:marBottom w:val="0"/>
                  <w:divBdr>
                    <w:top w:val="none" w:sz="0" w:space="0" w:color="auto"/>
                    <w:left w:val="none" w:sz="0" w:space="0" w:color="auto"/>
                    <w:bottom w:val="none" w:sz="0" w:space="0" w:color="auto"/>
                    <w:right w:val="none" w:sz="0" w:space="0" w:color="auto"/>
                  </w:divBdr>
                  <w:divsChild>
                    <w:div w:id="595332633">
                      <w:marLeft w:val="0"/>
                      <w:marRight w:val="0"/>
                      <w:marTop w:val="90"/>
                      <w:marBottom w:val="90"/>
                      <w:divBdr>
                        <w:top w:val="none" w:sz="0" w:space="0" w:color="auto"/>
                        <w:left w:val="none" w:sz="0" w:space="0" w:color="auto"/>
                        <w:bottom w:val="none" w:sz="0" w:space="0" w:color="auto"/>
                        <w:right w:val="none" w:sz="0" w:space="0" w:color="auto"/>
                      </w:divBdr>
                      <w:divsChild>
                        <w:div w:id="294336323">
                          <w:marLeft w:val="0"/>
                          <w:marRight w:val="0"/>
                          <w:marTop w:val="90"/>
                          <w:marBottom w:val="90"/>
                          <w:divBdr>
                            <w:top w:val="none" w:sz="0" w:space="0" w:color="auto"/>
                            <w:left w:val="none" w:sz="0" w:space="0" w:color="auto"/>
                            <w:bottom w:val="none" w:sz="0" w:space="0" w:color="auto"/>
                            <w:right w:val="none" w:sz="0" w:space="0" w:color="auto"/>
                          </w:divBdr>
                          <w:divsChild>
                            <w:div w:id="392506134">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汪新生</dc:creator>
  <cp:lastModifiedBy>汪新生</cp:lastModifiedBy>
  <cp:revision>2</cp:revision>
  <cp:lastPrinted>2014-05-16T06:04:00Z</cp:lastPrinted>
  <dcterms:created xsi:type="dcterms:W3CDTF">2014-05-16T00:20:00Z</dcterms:created>
  <dcterms:modified xsi:type="dcterms:W3CDTF">2014-05-16T06:04:00Z</dcterms:modified>
</cp:coreProperties>
</file>